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6C3" w:rsidRPr="004916C3" w:rsidRDefault="004916C3" w:rsidP="004916C3">
      <w:pPr>
        <w:pStyle w:val="Titulo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ind w:left="142"/>
        <w:jc w:val="both"/>
        <w:rPr>
          <w:rFonts w:ascii="Arial" w:hAnsi="Arial" w:cs="Arial"/>
          <w:b w:val="0"/>
          <w:bCs/>
          <w:spacing w:val="-3"/>
          <w:sz w:val="22"/>
          <w:szCs w:val="22"/>
        </w:rPr>
      </w:pPr>
      <w:r w:rsidRPr="004916C3">
        <w:rPr>
          <w:rFonts w:ascii="Arial" w:hAnsi="Arial" w:cs="Arial"/>
          <w:b w:val="0"/>
          <w:i/>
          <w:sz w:val="22"/>
          <w:szCs w:val="22"/>
          <w:lang w:val="es-CO"/>
        </w:rPr>
        <w:t xml:space="preserve">Proyecto de Resolución </w:t>
      </w:r>
      <w:r w:rsidRPr="004916C3">
        <w:rPr>
          <w:rFonts w:ascii="Arial" w:hAnsi="Arial" w:cs="Arial"/>
          <w:b w:val="0"/>
          <w:i/>
          <w:sz w:val="22"/>
          <w:szCs w:val="22"/>
          <w:lang w:val="es-CO"/>
        </w:rPr>
        <w:t>“Por medio de la cual se modifica la Resolución 00607 del 24 de marzo de 2020 por la cual se adoptan medidas transitorias en contratos y convenios celebrados por el DEPARTAMENTO PARA LA PROSPERIDAD SOCIAL – FONDO DE INVERSIÓN PARA LA PAZ, modificada por la Resolución 00639 de 2020”</w:t>
      </w:r>
      <w:r w:rsidRPr="004916C3">
        <w:rPr>
          <w:rFonts w:ascii="Arial" w:hAnsi="Arial" w:cs="Arial"/>
          <w:b w:val="0"/>
          <w:bCs/>
          <w:spacing w:val="-3"/>
          <w:sz w:val="22"/>
          <w:szCs w:val="22"/>
        </w:rPr>
        <w:tab/>
      </w:r>
    </w:p>
    <w:p w:rsidR="00C41ACF" w:rsidRPr="004916C3" w:rsidRDefault="00C41ACF">
      <w:pPr>
        <w:rPr>
          <w:rFonts w:ascii="Arial" w:hAnsi="Arial" w:cs="Arial"/>
        </w:rPr>
      </w:pPr>
    </w:p>
    <w:tbl>
      <w:tblPr>
        <w:tblStyle w:val="Tablaconcuadrcula"/>
        <w:tblW w:w="0" w:type="auto"/>
        <w:tblLook w:val="04A0" w:firstRow="1" w:lastRow="0" w:firstColumn="1" w:lastColumn="0" w:noHBand="0" w:noVBand="1"/>
      </w:tblPr>
      <w:tblGrid>
        <w:gridCol w:w="3256"/>
        <w:gridCol w:w="5572"/>
      </w:tblGrid>
      <w:tr w:rsidR="004916C3" w:rsidRPr="004916C3" w:rsidTr="004916C3">
        <w:tc>
          <w:tcPr>
            <w:tcW w:w="3256" w:type="dxa"/>
          </w:tcPr>
          <w:p w:rsidR="004916C3" w:rsidRPr="004916C3" w:rsidRDefault="004916C3" w:rsidP="004916C3">
            <w:pPr>
              <w:jc w:val="both"/>
              <w:rPr>
                <w:rFonts w:ascii="Arial" w:hAnsi="Arial" w:cs="Arial"/>
              </w:rPr>
            </w:pPr>
            <w:r w:rsidRPr="004916C3">
              <w:rPr>
                <w:rFonts w:ascii="Arial" w:hAnsi="Arial" w:cs="Arial"/>
              </w:rPr>
              <w:t xml:space="preserve">Dependencia que desarrolla el proyecto de Norma (Escriba el nombre de la dependencia que liderara el proceso)  </w:t>
            </w:r>
          </w:p>
        </w:tc>
        <w:tc>
          <w:tcPr>
            <w:tcW w:w="5572" w:type="dxa"/>
          </w:tcPr>
          <w:p w:rsidR="004916C3" w:rsidRPr="004916C3" w:rsidRDefault="004916C3" w:rsidP="004916C3">
            <w:pPr>
              <w:jc w:val="center"/>
              <w:rPr>
                <w:rFonts w:ascii="Arial" w:hAnsi="Arial" w:cs="Arial"/>
              </w:rPr>
            </w:pPr>
          </w:p>
          <w:p w:rsidR="004916C3" w:rsidRPr="004916C3" w:rsidRDefault="004916C3" w:rsidP="004916C3">
            <w:pPr>
              <w:jc w:val="center"/>
              <w:rPr>
                <w:rFonts w:ascii="Arial" w:hAnsi="Arial" w:cs="Arial"/>
              </w:rPr>
            </w:pPr>
            <w:r w:rsidRPr="004916C3">
              <w:rPr>
                <w:rFonts w:ascii="Arial" w:hAnsi="Arial" w:cs="Arial"/>
              </w:rPr>
              <w:t>Secretaría General</w:t>
            </w:r>
          </w:p>
        </w:tc>
      </w:tr>
      <w:tr w:rsidR="004916C3" w:rsidRPr="004916C3" w:rsidTr="004916C3">
        <w:tc>
          <w:tcPr>
            <w:tcW w:w="3256" w:type="dxa"/>
          </w:tcPr>
          <w:p w:rsidR="004916C3" w:rsidRPr="004916C3" w:rsidRDefault="004916C3">
            <w:pPr>
              <w:rPr>
                <w:rFonts w:ascii="Arial" w:hAnsi="Arial" w:cs="Arial"/>
              </w:rPr>
            </w:pPr>
          </w:p>
          <w:p w:rsidR="004916C3" w:rsidRPr="004916C3" w:rsidRDefault="004916C3">
            <w:pPr>
              <w:rPr>
                <w:rFonts w:ascii="Arial" w:hAnsi="Arial" w:cs="Arial"/>
              </w:rPr>
            </w:pPr>
            <w:r w:rsidRPr="004916C3">
              <w:rPr>
                <w:rFonts w:ascii="Arial" w:hAnsi="Arial" w:cs="Arial"/>
              </w:rPr>
              <w:t xml:space="preserve">Proyecto de Decreto o </w:t>
            </w:r>
            <w:r w:rsidRPr="004916C3">
              <w:rPr>
                <w:rFonts w:ascii="Arial" w:hAnsi="Arial" w:cs="Arial"/>
              </w:rPr>
              <w:t>Resolución</w:t>
            </w:r>
            <w:r w:rsidRPr="004916C3">
              <w:rPr>
                <w:rFonts w:ascii="Arial" w:hAnsi="Arial" w:cs="Arial"/>
              </w:rPr>
              <w:t>:</w:t>
            </w:r>
          </w:p>
        </w:tc>
        <w:tc>
          <w:tcPr>
            <w:tcW w:w="5572" w:type="dxa"/>
          </w:tcPr>
          <w:p w:rsidR="004916C3" w:rsidRPr="004916C3" w:rsidRDefault="004916C3" w:rsidP="004916C3">
            <w:pPr>
              <w:jc w:val="both"/>
              <w:rPr>
                <w:rFonts w:ascii="Arial" w:hAnsi="Arial" w:cs="Arial"/>
              </w:rPr>
            </w:pPr>
            <w:r w:rsidRPr="004916C3">
              <w:rPr>
                <w:rFonts w:ascii="Arial" w:hAnsi="Arial" w:cs="Arial"/>
                <w:i/>
              </w:rPr>
              <w:t>“Por medio de la cual se modifica la Resolución 00607 del 24 de marzo de 2020 por la cual se adoptan medidas transitorias en contratos y convenios celebrados por el DEPARTAMENTO PARA LA PROSPERIDAD SOCIAL – FONDO DE INVERSIÓN PARA LA PAZ, modificada por la Resolución 00639 de 2020”</w:t>
            </w:r>
            <w:r w:rsidRPr="004916C3">
              <w:rPr>
                <w:rFonts w:ascii="Arial" w:hAnsi="Arial" w:cs="Arial"/>
                <w:bCs/>
                <w:spacing w:val="-3"/>
              </w:rPr>
              <w:tab/>
            </w:r>
          </w:p>
        </w:tc>
      </w:tr>
      <w:tr w:rsidR="004916C3" w:rsidRPr="004916C3" w:rsidTr="004916C3">
        <w:tc>
          <w:tcPr>
            <w:tcW w:w="3256" w:type="dxa"/>
          </w:tcPr>
          <w:p w:rsidR="004916C3" w:rsidRPr="004916C3" w:rsidRDefault="004916C3" w:rsidP="004916C3">
            <w:pPr>
              <w:jc w:val="both"/>
              <w:rPr>
                <w:rFonts w:ascii="Arial" w:hAnsi="Arial" w:cs="Arial"/>
              </w:rPr>
            </w:pPr>
            <w:r w:rsidRPr="004916C3">
              <w:rPr>
                <w:rFonts w:ascii="Arial" w:hAnsi="Arial" w:cs="Arial"/>
              </w:rPr>
              <w:t>1. Los antecedentes y las razones de oportunidad y conveniencia que justifican su expedicibn.</w:t>
            </w:r>
          </w:p>
        </w:tc>
        <w:tc>
          <w:tcPr>
            <w:tcW w:w="5572" w:type="dxa"/>
          </w:tcPr>
          <w:p w:rsidR="004916C3" w:rsidRPr="004916C3" w:rsidRDefault="004916C3" w:rsidP="004916C3">
            <w:pPr>
              <w:tabs>
                <w:tab w:val="left" w:pos="10348"/>
              </w:tabs>
              <w:ind w:left="142" w:right="170"/>
              <w:jc w:val="both"/>
              <w:rPr>
                <w:rFonts w:ascii="Arial" w:eastAsia="Times New Roman" w:hAnsi="Arial" w:cs="Arial"/>
                <w:i/>
                <w:color w:val="000000"/>
                <w:kern w:val="28"/>
                <w:lang w:eastAsia="es-ES"/>
              </w:rPr>
            </w:pPr>
            <w:r w:rsidRPr="004916C3">
              <w:rPr>
                <w:rFonts w:ascii="Arial" w:eastAsia="Times New Roman" w:hAnsi="Arial" w:cs="Arial"/>
                <w:i/>
                <w:color w:val="000000"/>
                <w:kern w:val="28"/>
                <w:lang w:eastAsia="es-ES"/>
              </w:rPr>
              <w:t>Que el veinticuatro (24) de marzo de 2020 el DEPARTAMENTO ADMINISTRATIVO PARA LA PROSPERIDAD SOCIAL - PROSPERIDAD SOCIAL, expidió la Resolución 00607 mediante la cual se ordenó “… la suspensión del plazo de todos los contratos y convenios suscritos en desarrollo de los programas de Inclusión Productiva FEST, IRACA, Mi Negocio, Empleabilidad, de Infraestructura Social y Hábitat, Jóvenes en Acción, Mejoramiento de Vivienda y ReSa hasta el 13 de abril de 2020”, exceptuándose de la suspensión de plazo, los contratos y convenios en los cuales en su ejecución, no se tenga contacto directo con nuestra población objeto, los contratos y convenios celebrados para la entrega de transferencias monetarias, en el marco de los programas Familias en Acción y Jóvenes en Acción y los contratos de prestación de servicios personales y profesionales y de apoyo a la gestión”.</w:t>
            </w:r>
          </w:p>
          <w:p w:rsidR="004916C3" w:rsidRPr="004916C3" w:rsidRDefault="004916C3" w:rsidP="004916C3">
            <w:pPr>
              <w:tabs>
                <w:tab w:val="left" w:pos="10348"/>
              </w:tabs>
              <w:ind w:left="142" w:right="170"/>
              <w:jc w:val="both"/>
              <w:rPr>
                <w:rFonts w:ascii="Arial" w:eastAsia="Times New Roman" w:hAnsi="Arial" w:cs="Arial"/>
                <w:i/>
                <w:color w:val="000000"/>
                <w:kern w:val="28"/>
                <w:lang w:eastAsia="es-ES"/>
              </w:rPr>
            </w:pPr>
          </w:p>
          <w:p w:rsidR="004916C3" w:rsidRPr="004916C3" w:rsidRDefault="004916C3" w:rsidP="004916C3">
            <w:pPr>
              <w:tabs>
                <w:tab w:val="left" w:pos="10348"/>
              </w:tabs>
              <w:ind w:left="142" w:right="170"/>
              <w:jc w:val="both"/>
              <w:rPr>
                <w:rFonts w:ascii="Arial" w:eastAsia="Times New Roman" w:hAnsi="Arial" w:cs="Arial"/>
                <w:i/>
                <w:color w:val="000000"/>
                <w:kern w:val="28"/>
                <w:lang w:eastAsia="es-ES"/>
              </w:rPr>
            </w:pPr>
            <w:r w:rsidRPr="004916C3">
              <w:rPr>
                <w:rFonts w:ascii="Arial" w:eastAsia="Times New Roman" w:hAnsi="Arial" w:cs="Arial"/>
                <w:i/>
                <w:color w:val="000000"/>
                <w:kern w:val="28"/>
                <w:lang w:eastAsia="es-ES"/>
              </w:rPr>
              <w:t>Que la Resolución 00607 del veinticuatro (24) de marzo de 2020, se expidió en consideración a las medidas tomadas por el Gobierno Nacional mediante Decreto 457 de 2020 mediante el cual se impartieron instrucciones para el cumplimiento del Aislamiento Preventivo Obligatorio de 19 días en todo el territorio colombiano, a partir de las cero horas del 25 de marzo, en el marco de la emergencia sanitaria por causa de la pandemia del coronavirus COVID-19.</w:t>
            </w:r>
          </w:p>
          <w:p w:rsidR="004916C3" w:rsidRPr="004916C3" w:rsidRDefault="004916C3" w:rsidP="004916C3">
            <w:pPr>
              <w:tabs>
                <w:tab w:val="left" w:pos="10348"/>
              </w:tabs>
              <w:ind w:left="142" w:right="170"/>
              <w:jc w:val="both"/>
              <w:rPr>
                <w:rFonts w:ascii="Arial" w:eastAsia="Times New Roman" w:hAnsi="Arial" w:cs="Arial"/>
                <w:i/>
                <w:color w:val="000000"/>
                <w:kern w:val="28"/>
                <w:lang w:eastAsia="es-ES"/>
              </w:rPr>
            </w:pPr>
          </w:p>
          <w:p w:rsidR="004916C3" w:rsidRPr="004916C3" w:rsidRDefault="004916C3" w:rsidP="004916C3">
            <w:pPr>
              <w:pStyle w:val="Default"/>
              <w:ind w:left="142" w:right="170"/>
              <w:jc w:val="both"/>
              <w:rPr>
                <w:rFonts w:ascii="Arial" w:hAnsi="Arial" w:cs="Arial"/>
                <w:i/>
                <w:kern w:val="28"/>
                <w:sz w:val="22"/>
                <w:szCs w:val="22"/>
                <w:lang w:val="es-CO"/>
              </w:rPr>
            </w:pPr>
            <w:r w:rsidRPr="004916C3">
              <w:rPr>
                <w:rFonts w:ascii="Arial" w:hAnsi="Arial" w:cs="Arial"/>
                <w:i/>
                <w:kern w:val="28"/>
                <w:sz w:val="22"/>
                <w:szCs w:val="22"/>
                <w:lang w:val="es-CO"/>
              </w:rPr>
              <w:t xml:space="preserve">Que mediante Decreto Legislativo 491 del 28 de marzo de 2020 el Ministerio de Justicia y del Derecho adoptó medidas de urgencia para </w:t>
            </w:r>
            <w:r w:rsidRPr="004916C3">
              <w:rPr>
                <w:rFonts w:ascii="Arial" w:hAnsi="Arial" w:cs="Arial"/>
                <w:i/>
                <w:kern w:val="28"/>
                <w:sz w:val="22"/>
                <w:szCs w:val="22"/>
                <w:lang w:val="es-CO"/>
              </w:rPr>
              <w:lastRenderedPageBreak/>
              <w:t>garantizar la atención y la prestación de los servicios por parte de las autoridades públicas y los particulares que cumplan funciones públicas y tomo medidas para la protección laboral y de los contratistas de prestación de servicios de las entidades públicas, en el marco del Estado de Emergencia Económica, Social y Ecológica.</w:t>
            </w:r>
          </w:p>
          <w:p w:rsidR="004916C3" w:rsidRPr="004916C3" w:rsidRDefault="004916C3" w:rsidP="004916C3">
            <w:pPr>
              <w:pStyle w:val="Default"/>
              <w:ind w:left="142" w:right="170"/>
              <w:jc w:val="both"/>
              <w:rPr>
                <w:rFonts w:ascii="Arial" w:hAnsi="Arial" w:cs="Arial"/>
                <w:i/>
                <w:kern w:val="28"/>
                <w:sz w:val="22"/>
                <w:szCs w:val="22"/>
                <w:lang w:val="es-CO"/>
              </w:rPr>
            </w:pPr>
          </w:p>
          <w:p w:rsidR="004916C3" w:rsidRPr="004916C3" w:rsidRDefault="004916C3" w:rsidP="00133027">
            <w:pPr>
              <w:tabs>
                <w:tab w:val="left" w:pos="284"/>
                <w:tab w:val="left" w:pos="10348"/>
              </w:tabs>
              <w:ind w:left="142" w:right="170"/>
              <w:jc w:val="both"/>
              <w:rPr>
                <w:rFonts w:ascii="Arial" w:hAnsi="Arial" w:cs="Arial"/>
                <w:b/>
                <w:i/>
              </w:rPr>
            </w:pPr>
            <w:r w:rsidRPr="004916C3">
              <w:rPr>
                <w:rFonts w:ascii="Arial" w:eastAsia="Times New Roman" w:hAnsi="Arial" w:cs="Arial"/>
                <w:i/>
                <w:color w:val="000000"/>
                <w:kern w:val="28"/>
                <w:lang w:eastAsia="es-ES"/>
              </w:rPr>
              <w:t>Que conforme a la expedición de la normatividad relacionada, el día Treinta (30) de marzo, la Entidad expidió la Resolución 00639 “Por medio de la cual se modifica la Resolución 607 del 24 de marzo de 2020 por la cual se adoptan medidas transitorias en contratos y convenios celebrados por el DEPARTAMENTO ADMINISTRATIVO PARA LA PROSPERIDAD SOCIAL – FONDO DE INVERSIÓN PARA LA PAZ”</w:t>
            </w:r>
            <w:r w:rsidR="00133027">
              <w:rPr>
                <w:rFonts w:ascii="Arial" w:eastAsia="Times New Roman" w:hAnsi="Arial" w:cs="Arial"/>
                <w:i/>
                <w:color w:val="000000"/>
                <w:kern w:val="28"/>
                <w:lang w:eastAsia="es-ES"/>
              </w:rPr>
              <w:t>.</w:t>
            </w:r>
            <w:bookmarkStart w:id="0" w:name="_GoBack"/>
            <w:bookmarkEnd w:id="0"/>
          </w:p>
          <w:p w:rsidR="004916C3" w:rsidRPr="004916C3" w:rsidRDefault="004916C3" w:rsidP="004916C3">
            <w:pPr>
              <w:pStyle w:val="Titulo1"/>
              <w:numPr>
                <w:ilvl w:val="0"/>
                <w:numId w:val="0"/>
              </w:numPr>
              <w:tabs>
                <w:tab w:val="left" w:pos="10206"/>
              </w:tabs>
              <w:spacing w:before="0" w:after="0" w:line="240" w:lineRule="auto"/>
              <w:ind w:left="284" w:right="170"/>
              <w:jc w:val="both"/>
              <w:rPr>
                <w:rFonts w:ascii="Arial" w:hAnsi="Arial" w:cs="Arial"/>
                <w:b w:val="0"/>
                <w:i/>
                <w:sz w:val="22"/>
                <w:szCs w:val="22"/>
                <w:lang w:val="es-CO"/>
              </w:rPr>
            </w:pPr>
          </w:p>
          <w:p w:rsidR="004916C3" w:rsidRPr="004916C3" w:rsidRDefault="004916C3" w:rsidP="004916C3">
            <w:pPr>
              <w:pStyle w:val="Titulo1"/>
              <w:numPr>
                <w:ilvl w:val="0"/>
                <w:numId w:val="0"/>
              </w:numPr>
              <w:tabs>
                <w:tab w:val="left" w:pos="10206"/>
              </w:tabs>
              <w:spacing w:before="0" w:after="0" w:line="240" w:lineRule="auto"/>
              <w:ind w:left="284" w:right="170"/>
              <w:jc w:val="both"/>
              <w:rPr>
                <w:rFonts w:ascii="Arial" w:hAnsi="Arial" w:cs="Arial"/>
                <w:b w:val="0"/>
                <w:i/>
                <w:sz w:val="22"/>
                <w:szCs w:val="22"/>
                <w:lang w:val="es-CO"/>
              </w:rPr>
            </w:pPr>
            <w:r w:rsidRPr="004916C3">
              <w:rPr>
                <w:rFonts w:ascii="Arial" w:hAnsi="Arial" w:cs="Arial"/>
                <w:b w:val="0"/>
                <w:i/>
                <w:sz w:val="22"/>
                <w:szCs w:val="22"/>
                <w:lang w:val="es-CO"/>
              </w:rPr>
              <w:t xml:space="preserve">Que mediante Decreto 531 del 8 de Abril de 2020, el Ministerio del Interior, profirió el Decreto 531, </w:t>
            </w:r>
            <w:bookmarkStart w:id="1" w:name="_Hlk37530882"/>
            <w:r w:rsidRPr="004916C3">
              <w:rPr>
                <w:rFonts w:ascii="Arial" w:hAnsi="Arial" w:cs="Arial"/>
                <w:b w:val="0"/>
                <w:i/>
                <w:sz w:val="22"/>
                <w:szCs w:val="22"/>
                <w:lang w:val="es-CO"/>
              </w:rPr>
              <w:t xml:space="preserve">“Por el cual se imparten instrucciones en virtud de la emergencia sanitaria generada por la pandemia del Coronavirus COVID-19, y el mantenimiento del orden público” </w:t>
            </w:r>
            <w:bookmarkEnd w:id="1"/>
            <w:r w:rsidRPr="004916C3">
              <w:rPr>
                <w:rFonts w:ascii="Arial" w:hAnsi="Arial" w:cs="Arial"/>
                <w:b w:val="0"/>
                <w:i/>
                <w:sz w:val="22"/>
                <w:szCs w:val="22"/>
                <w:lang w:val="es-CO"/>
              </w:rPr>
              <w:t>consignando en sus considerandos:</w:t>
            </w:r>
          </w:p>
          <w:p w:rsidR="004916C3" w:rsidRPr="004916C3" w:rsidRDefault="004916C3">
            <w:pPr>
              <w:rPr>
                <w:rFonts w:ascii="Arial" w:eastAsia="Times New Roman" w:hAnsi="Arial" w:cs="Arial"/>
                <w:i/>
                <w:color w:val="000000"/>
                <w:kern w:val="28"/>
                <w:lang w:eastAsia="es-ES"/>
              </w:rPr>
            </w:pPr>
          </w:p>
        </w:tc>
      </w:tr>
      <w:tr w:rsidR="004916C3" w:rsidRPr="004916C3" w:rsidTr="004916C3">
        <w:tc>
          <w:tcPr>
            <w:tcW w:w="3256" w:type="dxa"/>
          </w:tcPr>
          <w:p w:rsidR="004916C3" w:rsidRPr="004916C3" w:rsidRDefault="004916C3" w:rsidP="004916C3">
            <w:pPr>
              <w:jc w:val="both"/>
              <w:rPr>
                <w:rFonts w:ascii="Arial" w:hAnsi="Arial" w:cs="Arial"/>
              </w:rPr>
            </w:pPr>
            <w:r w:rsidRPr="004916C3">
              <w:rPr>
                <w:rFonts w:ascii="Arial" w:hAnsi="Arial" w:cs="Arial"/>
              </w:rPr>
              <w:lastRenderedPageBreak/>
              <w:t xml:space="preserve">1.1 Las normas que otorgan la competencia para la </w:t>
            </w:r>
            <w:r w:rsidRPr="004916C3">
              <w:rPr>
                <w:rFonts w:ascii="Arial" w:hAnsi="Arial" w:cs="Arial"/>
              </w:rPr>
              <w:t>expedición</w:t>
            </w:r>
            <w:r w:rsidRPr="004916C3">
              <w:rPr>
                <w:rFonts w:ascii="Arial" w:hAnsi="Arial" w:cs="Arial"/>
              </w:rPr>
              <w:t xml:space="preserve"> del correspondiente acto.</w:t>
            </w:r>
          </w:p>
        </w:tc>
        <w:tc>
          <w:tcPr>
            <w:tcW w:w="5572" w:type="dxa"/>
          </w:tcPr>
          <w:p w:rsidR="004916C3" w:rsidRPr="004916C3" w:rsidRDefault="004916C3" w:rsidP="004916C3">
            <w:pPr>
              <w:jc w:val="both"/>
              <w:rPr>
                <w:rFonts w:ascii="Arial" w:eastAsia="Times New Roman" w:hAnsi="Arial" w:cs="Arial"/>
                <w:iCs/>
                <w:color w:val="000000"/>
                <w:kern w:val="28"/>
                <w:lang w:eastAsia="es-ES"/>
              </w:rPr>
            </w:pPr>
            <w:r w:rsidRPr="004916C3">
              <w:rPr>
                <w:rFonts w:ascii="Arial" w:eastAsia="Times New Roman" w:hAnsi="Arial" w:cs="Arial"/>
                <w:iCs/>
                <w:color w:val="000000"/>
                <w:kern w:val="28"/>
                <w:lang w:eastAsia="es-ES"/>
              </w:rPr>
              <w:t>En uso de sus facultades legales y en especial las conferidas por la Ley 489 de 1998 y el Artículo 10 del Decreto 2094 de 2016.</w:t>
            </w:r>
          </w:p>
          <w:p w:rsidR="004916C3" w:rsidRPr="004916C3" w:rsidRDefault="00EB57A2" w:rsidP="00EB57A2">
            <w:pPr>
              <w:tabs>
                <w:tab w:val="left" w:pos="1185"/>
              </w:tabs>
              <w:rPr>
                <w:rFonts w:ascii="Arial" w:eastAsia="Times New Roman" w:hAnsi="Arial" w:cs="Arial"/>
                <w:i/>
                <w:color w:val="000000"/>
                <w:kern w:val="28"/>
                <w:lang w:eastAsia="es-ES"/>
              </w:rPr>
            </w:pPr>
            <w:r>
              <w:rPr>
                <w:rFonts w:ascii="Arial" w:eastAsia="Times New Roman" w:hAnsi="Arial" w:cs="Arial"/>
                <w:i/>
                <w:color w:val="000000"/>
                <w:kern w:val="28"/>
                <w:lang w:eastAsia="es-ES"/>
              </w:rPr>
              <w:tab/>
            </w:r>
          </w:p>
        </w:tc>
      </w:tr>
      <w:tr w:rsidR="004916C3" w:rsidRPr="004916C3" w:rsidTr="004916C3">
        <w:tc>
          <w:tcPr>
            <w:tcW w:w="3256" w:type="dxa"/>
          </w:tcPr>
          <w:p w:rsidR="004916C3" w:rsidRPr="004916C3" w:rsidRDefault="00EB57A2" w:rsidP="00EB57A2">
            <w:pPr>
              <w:jc w:val="both"/>
              <w:rPr>
                <w:rFonts w:ascii="Arial" w:hAnsi="Arial" w:cs="Arial"/>
              </w:rPr>
            </w:pPr>
            <w:r w:rsidRPr="00EB57A2">
              <w:rPr>
                <w:rFonts w:ascii="Arial" w:hAnsi="Arial" w:cs="Arial"/>
              </w:rPr>
              <w:t>1.2 La vigencia de la ley o norma reglamentada o desarrollada.</w:t>
            </w:r>
          </w:p>
        </w:tc>
        <w:tc>
          <w:tcPr>
            <w:tcW w:w="5572" w:type="dxa"/>
          </w:tcPr>
          <w:p w:rsidR="004916C3" w:rsidRPr="004916C3" w:rsidRDefault="00EB57A2">
            <w:pPr>
              <w:rPr>
                <w:rFonts w:ascii="Arial" w:hAnsi="Arial" w:cs="Arial"/>
              </w:rPr>
            </w:pPr>
            <w:r w:rsidRPr="005073A2">
              <w:rPr>
                <w:rFonts w:ascii="Verdana" w:hAnsi="Verdana" w:cs="Arial"/>
                <w:sz w:val="21"/>
                <w:szCs w:val="21"/>
              </w:rPr>
              <w:t>La presente Resolución rige a partir de la fecha de su publicación</w:t>
            </w:r>
          </w:p>
        </w:tc>
      </w:tr>
      <w:tr w:rsidR="004916C3" w:rsidRPr="004916C3" w:rsidTr="004916C3">
        <w:tc>
          <w:tcPr>
            <w:tcW w:w="3256" w:type="dxa"/>
          </w:tcPr>
          <w:p w:rsidR="004916C3" w:rsidRPr="004916C3" w:rsidRDefault="00EB57A2" w:rsidP="00EB57A2">
            <w:pPr>
              <w:jc w:val="both"/>
              <w:rPr>
                <w:rFonts w:ascii="Arial" w:hAnsi="Arial" w:cs="Arial"/>
              </w:rPr>
            </w:pPr>
            <w:r w:rsidRPr="00EB57A2">
              <w:rPr>
                <w:rFonts w:ascii="Arial" w:hAnsi="Arial" w:cs="Arial"/>
              </w:rPr>
              <w:t xml:space="preserve">1.3 Las disposiciones derogadas, modificadas, o sustituidas, si alguno de estos efectos se produce con la </w:t>
            </w:r>
            <w:r w:rsidRPr="00EB57A2">
              <w:rPr>
                <w:rFonts w:ascii="Arial" w:hAnsi="Arial" w:cs="Arial"/>
              </w:rPr>
              <w:t>expedición</w:t>
            </w:r>
            <w:r w:rsidRPr="00EB57A2">
              <w:rPr>
                <w:rFonts w:ascii="Arial" w:hAnsi="Arial" w:cs="Arial"/>
              </w:rPr>
              <w:t xml:space="preserve"> del </w:t>
            </w:r>
            <w:r w:rsidRPr="00EB57A2">
              <w:rPr>
                <w:rFonts w:ascii="Arial" w:hAnsi="Arial" w:cs="Arial"/>
              </w:rPr>
              <w:t>respectivo</w:t>
            </w:r>
            <w:r w:rsidRPr="00EB57A2">
              <w:rPr>
                <w:rFonts w:ascii="Arial" w:hAnsi="Arial" w:cs="Arial"/>
              </w:rPr>
              <w:t xml:space="preserve"> acto. subrogadas, adicionadas</w:t>
            </w:r>
          </w:p>
        </w:tc>
        <w:tc>
          <w:tcPr>
            <w:tcW w:w="5572" w:type="dxa"/>
          </w:tcPr>
          <w:p w:rsidR="00EB57A2" w:rsidRDefault="00EB57A2">
            <w:pPr>
              <w:rPr>
                <w:rFonts w:ascii="Arial" w:hAnsi="Arial" w:cs="Arial"/>
              </w:rPr>
            </w:pPr>
          </w:p>
          <w:p w:rsidR="004916C3" w:rsidRPr="004916C3" w:rsidRDefault="00EB57A2" w:rsidP="00EB57A2">
            <w:pPr>
              <w:jc w:val="both"/>
              <w:rPr>
                <w:rFonts w:ascii="Arial" w:hAnsi="Arial" w:cs="Arial"/>
              </w:rPr>
            </w:pPr>
            <w:r w:rsidRPr="00EB57A2">
              <w:rPr>
                <w:rFonts w:ascii="Arial" w:hAnsi="Arial" w:cs="Arial"/>
              </w:rPr>
              <w:t xml:space="preserve">Modificar la </w:t>
            </w:r>
            <w:r w:rsidRPr="00EB57A2">
              <w:rPr>
                <w:rFonts w:ascii="Arial" w:hAnsi="Arial" w:cs="Arial"/>
              </w:rPr>
              <w:t>Resolución</w:t>
            </w:r>
            <w:r w:rsidRPr="00EB57A2">
              <w:rPr>
                <w:rFonts w:ascii="Arial" w:hAnsi="Arial" w:cs="Arial"/>
              </w:rPr>
              <w:t xml:space="preserve"> No. 00</w:t>
            </w:r>
            <w:r>
              <w:rPr>
                <w:rFonts w:ascii="Arial" w:hAnsi="Arial" w:cs="Arial"/>
              </w:rPr>
              <w:t>607</w:t>
            </w:r>
            <w:r w:rsidRPr="00EB57A2">
              <w:rPr>
                <w:rFonts w:ascii="Arial" w:hAnsi="Arial" w:cs="Arial"/>
              </w:rPr>
              <w:t xml:space="preserve"> del </w:t>
            </w:r>
            <w:r>
              <w:rPr>
                <w:rFonts w:ascii="Arial" w:hAnsi="Arial" w:cs="Arial"/>
              </w:rPr>
              <w:t>24</w:t>
            </w:r>
            <w:r w:rsidRPr="00EB57A2">
              <w:rPr>
                <w:rFonts w:ascii="Arial" w:hAnsi="Arial" w:cs="Arial"/>
              </w:rPr>
              <w:t xml:space="preserve"> de</w:t>
            </w:r>
            <w:r>
              <w:rPr>
                <w:rFonts w:ascii="Arial" w:hAnsi="Arial" w:cs="Arial"/>
              </w:rPr>
              <w:t xml:space="preserve"> marzo</w:t>
            </w:r>
            <w:r w:rsidRPr="00EB57A2">
              <w:rPr>
                <w:rFonts w:ascii="Arial" w:hAnsi="Arial" w:cs="Arial"/>
              </w:rPr>
              <w:t xml:space="preserve"> de 2020, modificada por la </w:t>
            </w:r>
            <w:r w:rsidRPr="00EB57A2">
              <w:rPr>
                <w:rFonts w:ascii="Arial" w:hAnsi="Arial" w:cs="Arial"/>
              </w:rPr>
              <w:t>Resolución</w:t>
            </w:r>
            <w:r w:rsidRPr="00EB57A2">
              <w:rPr>
                <w:rFonts w:ascii="Arial" w:hAnsi="Arial" w:cs="Arial"/>
              </w:rPr>
              <w:t xml:space="preserve"> No. 00</w:t>
            </w:r>
            <w:r>
              <w:rPr>
                <w:rFonts w:ascii="Arial" w:hAnsi="Arial" w:cs="Arial"/>
              </w:rPr>
              <w:t>639</w:t>
            </w:r>
            <w:r w:rsidRPr="00EB57A2">
              <w:rPr>
                <w:rFonts w:ascii="Arial" w:hAnsi="Arial" w:cs="Arial"/>
              </w:rPr>
              <w:t xml:space="preserve"> del </w:t>
            </w:r>
            <w:r>
              <w:rPr>
                <w:rFonts w:ascii="Arial" w:hAnsi="Arial" w:cs="Arial"/>
              </w:rPr>
              <w:t>30</w:t>
            </w:r>
            <w:r w:rsidRPr="00EB57A2">
              <w:rPr>
                <w:rFonts w:ascii="Arial" w:hAnsi="Arial" w:cs="Arial"/>
              </w:rPr>
              <w:t xml:space="preserve"> de </w:t>
            </w:r>
            <w:r>
              <w:rPr>
                <w:rFonts w:ascii="Arial" w:hAnsi="Arial" w:cs="Arial"/>
              </w:rPr>
              <w:t>marzo</w:t>
            </w:r>
            <w:r w:rsidRPr="00EB57A2">
              <w:rPr>
                <w:rFonts w:ascii="Arial" w:hAnsi="Arial" w:cs="Arial"/>
              </w:rPr>
              <w:t xml:space="preserve"> de 2020</w:t>
            </w:r>
          </w:p>
        </w:tc>
      </w:tr>
      <w:tr w:rsidR="004916C3" w:rsidRPr="004916C3" w:rsidTr="004916C3">
        <w:tc>
          <w:tcPr>
            <w:tcW w:w="3256" w:type="dxa"/>
          </w:tcPr>
          <w:p w:rsidR="004916C3" w:rsidRPr="004916C3" w:rsidRDefault="0015027A">
            <w:pPr>
              <w:rPr>
                <w:rFonts w:ascii="Arial" w:hAnsi="Arial" w:cs="Arial"/>
              </w:rPr>
            </w:pPr>
            <w:r>
              <w:rPr>
                <w:rFonts w:ascii="Arial" w:hAnsi="Arial" w:cs="Arial"/>
              </w:rPr>
              <w:t xml:space="preserve">2. </w:t>
            </w:r>
            <w:r w:rsidRPr="0015027A">
              <w:rPr>
                <w:rFonts w:ascii="Arial" w:hAnsi="Arial" w:cs="Arial"/>
              </w:rPr>
              <w:t xml:space="preserve">El </w:t>
            </w:r>
            <w:r w:rsidRPr="0015027A">
              <w:rPr>
                <w:rFonts w:ascii="Arial" w:hAnsi="Arial" w:cs="Arial"/>
              </w:rPr>
              <w:t>ámbito</w:t>
            </w:r>
            <w:r w:rsidRPr="0015027A">
              <w:rPr>
                <w:rFonts w:ascii="Arial" w:hAnsi="Arial" w:cs="Arial"/>
              </w:rPr>
              <w:t xml:space="preserve"> de </w:t>
            </w:r>
            <w:r w:rsidRPr="0015027A">
              <w:rPr>
                <w:rFonts w:ascii="Arial" w:hAnsi="Arial" w:cs="Arial"/>
              </w:rPr>
              <w:t>aplicación</w:t>
            </w:r>
            <w:r w:rsidRPr="0015027A">
              <w:rPr>
                <w:rFonts w:ascii="Arial" w:hAnsi="Arial" w:cs="Arial"/>
              </w:rPr>
              <w:t xml:space="preserve"> del respectivo acto y los sujetos a</w:t>
            </w:r>
            <w:r>
              <w:rPr>
                <w:rFonts w:ascii="Arial" w:hAnsi="Arial" w:cs="Arial"/>
              </w:rPr>
              <w:t xml:space="preserve"> quienes va dirigido.</w:t>
            </w:r>
          </w:p>
        </w:tc>
        <w:tc>
          <w:tcPr>
            <w:tcW w:w="5572" w:type="dxa"/>
          </w:tcPr>
          <w:p w:rsidR="004916C3" w:rsidRPr="004916C3" w:rsidRDefault="0015027A" w:rsidP="0015027A">
            <w:pPr>
              <w:jc w:val="both"/>
              <w:rPr>
                <w:rFonts w:ascii="Arial" w:hAnsi="Arial" w:cs="Arial"/>
              </w:rPr>
            </w:pPr>
            <w:r w:rsidRPr="0015027A">
              <w:rPr>
                <w:rFonts w:ascii="Arial" w:hAnsi="Arial" w:cs="Arial"/>
              </w:rPr>
              <w:t xml:space="preserve">La presente </w:t>
            </w:r>
            <w:r w:rsidRPr="0015027A">
              <w:rPr>
                <w:rFonts w:ascii="Arial" w:hAnsi="Arial" w:cs="Arial"/>
              </w:rPr>
              <w:t>Resolución</w:t>
            </w:r>
            <w:r w:rsidRPr="0015027A">
              <w:rPr>
                <w:rFonts w:ascii="Arial" w:hAnsi="Arial" w:cs="Arial"/>
              </w:rPr>
              <w:t xml:space="preserve"> rige para todos los servidores </w:t>
            </w:r>
            <w:r w:rsidRPr="0015027A">
              <w:rPr>
                <w:rFonts w:ascii="Arial" w:hAnsi="Arial" w:cs="Arial"/>
              </w:rPr>
              <w:t>públicos</w:t>
            </w:r>
            <w:r w:rsidRPr="0015027A">
              <w:rPr>
                <w:rFonts w:ascii="Arial" w:hAnsi="Arial" w:cs="Arial"/>
              </w:rPr>
              <w:t xml:space="preserve"> del Departamento Administrativo para la Prosperidad Social.</w:t>
            </w:r>
          </w:p>
        </w:tc>
      </w:tr>
      <w:tr w:rsidR="004916C3" w:rsidRPr="004916C3" w:rsidTr="004916C3">
        <w:tc>
          <w:tcPr>
            <w:tcW w:w="3256" w:type="dxa"/>
          </w:tcPr>
          <w:p w:rsidR="004916C3" w:rsidRPr="004916C3" w:rsidRDefault="0015027A" w:rsidP="0015027A">
            <w:pPr>
              <w:jc w:val="both"/>
              <w:rPr>
                <w:rFonts w:ascii="Arial" w:hAnsi="Arial" w:cs="Arial"/>
              </w:rPr>
            </w:pPr>
            <w:r w:rsidRPr="0015027A">
              <w:rPr>
                <w:rFonts w:ascii="Arial" w:hAnsi="Arial" w:cs="Arial"/>
              </w:rPr>
              <w:t xml:space="preserve">3. La viabilidad </w:t>
            </w:r>
            <w:r w:rsidRPr="0015027A">
              <w:rPr>
                <w:rFonts w:ascii="Arial" w:hAnsi="Arial" w:cs="Arial"/>
              </w:rPr>
              <w:t>jurídica</w:t>
            </w:r>
            <w:r w:rsidRPr="0015027A">
              <w:rPr>
                <w:rFonts w:ascii="Arial" w:hAnsi="Arial" w:cs="Arial"/>
              </w:rPr>
              <w:t>, que deber</w:t>
            </w:r>
            <w:r>
              <w:rPr>
                <w:rFonts w:ascii="Arial" w:hAnsi="Arial" w:cs="Arial"/>
              </w:rPr>
              <w:t>á</w:t>
            </w:r>
            <w:r w:rsidRPr="0015027A">
              <w:rPr>
                <w:rFonts w:ascii="Arial" w:hAnsi="Arial" w:cs="Arial"/>
              </w:rPr>
              <w:t xml:space="preserve"> contar con el visto bueno de la oficina </w:t>
            </w:r>
            <w:r w:rsidRPr="0015027A">
              <w:rPr>
                <w:rFonts w:ascii="Arial" w:hAnsi="Arial" w:cs="Arial"/>
              </w:rPr>
              <w:t>jurídica</w:t>
            </w:r>
            <w:r w:rsidRPr="0015027A">
              <w:rPr>
                <w:rFonts w:ascii="Arial" w:hAnsi="Arial" w:cs="Arial"/>
              </w:rPr>
              <w:t xml:space="preserve"> de la entidad o la dependencia que haga sus veces</w:t>
            </w:r>
          </w:p>
        </w:tc>
        <w:tc>
          <w:tcPr>
            <w:tcW w:w="5572" w:type="dxa"/>
          </w:tcPr>
          <w:p w:rsidR="0015027A" w:rsidRDefault="0015027A">
            <w:pPr>
              <w:rPr>
                <w:rFonts w:ascii="Arial" w:hAnsi="Arial" w:cs="Arial"/>
              </w:rPr>
            </w:pPr>
          </w:p>
          <w:p w:rsidR="004916C3" w:rsidRPr="004916C3" w:rsidRDefault="0015027A" w:rsidP="0015027A">
            <w:pPr>
              <w:jc w:val="both"/>
              <w:rPr>
                <w:rFonts w:ascii="Arial" w:hAnsi="Arial" w:cs="Arial"/>
              </w:rPr>
            </w:pPr>
            <w:r w:rsidRPr="0015027A">
              <w:rPr>
                <w:rFonts w:ascii="Arial" w:hAnsi="Arial" w:cs="Arial"/>
              </w:rPr>
              <w:t xml:space="preserve">Suscribe la Directora del Departamento </w:t>
            </w:r>
            <w:r w:rsidRPr="0015027A">
              <w:rPr>
                <w:rFonts w:ascii="Arial" w:hAnsi="Arial" w:cs="Arial"/>
              </w:rPr>
              <w:t>Administrativo</w:t>
            </w:r>
            <w:r w:rsidRPr="0015027A">
              <w:rPr>
                <w:rFonts w:ascii="Arial" w:hAnsi="Arial" w:cs="Arial"/>
              </w:rPr>
              <w:t xml:space="preserve"> para la Prosperidad Social con visto bueno de la Secretaria General</w:t>
            </w:r>
          </w:p>
        </w:tc>
      </w:tr>
      <w:tr w:rsidR="004916C3" w:rsidRPr="004916C3" w:rsidTr="004916C3">
        <w:tc>
          <w:tcPr>
            <w:tcW w:w="3256" w:type="dxa"/>
          </w:tcPr>
          <w:p w:rsidR="004916C3" w:rsidRPr="004916C3" w:rsidRDefault="0015027A" w:rsidP="0015027A">
            <w:pPr>
              <w:jc w:val="both"/>
              <w:rPr>
                <w:rFonts w:ascii="Arial" w:hAnsi="Arial" w:cs="Arial"/>
              </w:rPr>
            </w:pPr>
            <w:r w:rsidRPr="0015027A">
              <w:rPr>
                <w:rFonts w:ascii="Arial" w:hAnsi="Arial" w:cs="Arial"/>
              </w:rPr>
              <w:t xml:space="preserve">4. Impacto </w:t>
            </w:r>
            <w:r w:rsidRPr="0015027A">
              <w:rPr>
                <w:rFonts w:ascii="Arial" w:hAnsi="Arial" w:cs="Arial"/>
              </w:rPr>
              <w:t>económico</w:t>
            </w:r>
            <w:r w:rsidRPr="0015027A">
              <w:rPr>
                <w:rFonts w:ascii="Arial" w:hAnsi="Arial" w:cs="Arial"/>
              </w:rPr>
              <w:t xml:space="preserve"> si fuere el caso, el cual deber</w:t>
            </w:r>
            <w:r>
              <w:rPr>
                <w:rFonts w:ascii="Arial" w:hAnsi="Arial" w:cs="Arial"/>
              </w:rPr>
              <w:t>á</w:t>
            </w:r>
            <w:r w:rsidRPr="0015027A">
              <w:rPr>
                <w:rFonts w:ascii="Arial" w:hAnsi="Arial" w:cs="Arial"/>
              </w:rPr>
              <w:t xml:space="preserve"> </w:t>
            </w:r>
            <w:r w:rsidRPr="0015027A">
              <w:rPr>
                <w:rFonts w:ascii="Arial" w:hAnsi="Arial" w:cs="Arial"/>
              </w:rPr>
              <w:t>señalar</w:t>
            </w:r>
            <w:r w:rsidRPr="0015027A">
              <w:rPr>
                <w:rFonts w:ascii="Arial" w:hAnsi="Arial" w:cs="Arial"/>
              </w:rPr>
              <w:t xml:space="preserve"> el costo </w:t>
            </w:r>
            <w:r>
              <w:rPr>
                <w:rFonts w:ascii="Arial" w:hAnsi="Arial" w:cs="Arial"/>
              </w:rPr>
              <w:t xml:space="preserve">o ahorro de </w:t>
            </w:r>
            <w:r w:rsidRPr="0015027A">
              <w:rPr>
                <w:rFonts w:ascii="Arial" w:hAnsi="Arial" w:cs="Arial"/>
              </w:rPr>
              <w:t>implementación</w:t>
            </w:r>
            <w:r w:rsidRPr="0015027A">
              <w:rPr>
                <w:rFonts w:ascii="Arial" w:hAnsi="Arial" w:cs="Arial"/>
              </w:rPr>
              <w:t xml:space="preserve"> del respectivo acto.</w:t>
            </w:r>
          </w:p>
        </w:tc>
        <w:tc>
          <w:tcPr>
            <w:tcW w:w="5572" w:type="dxa"/>
          </w:tcPr>
          <w:p w:rsidR="0015027A" w:rsidRDefault="0015027A">
            <w:pPr>
              <w:rPr>
                <w:rFonts w:ascii="Arial" w:hAnsi="Arial" w:cs="Arial"/>
              </w:rPr>
            </w:pPr>
          </w:p>
          <w:p w:rsidR="0015027A" w:rsidRDefault="0015027A">
            <w:pPr>
              <w:rPr>
                <w:rFonts w:ascii="Arial" w:hAnsi="Arial" w:cs="Arial"/>
              </w:rPr>
            </w:pPr>
          </w:p>
          <w:p w:rsidR="004916C3" w:rsidRPr="004916C3" w:rsidRDefault="0015027A">
            <w:pPr>
              <w:rPr>
                <w:rFonts w:ascii="Arial" w:hAnsi="Arial" w:cs="Arial"/>
              </w:rPr>
            </w:pPr>
            <w:r>
              <w:rPr>
                <w:rFonts w:ascii="Arial" w:hAnsi="Arial" w:cs="Arial"/>
              </w:rPr>
              <w:t>Ninguno</w:t>
            </w:r>
          </w:p>
        </w:tc>
      </w:tr>
      <w:tr w:rsidR="004916C3" w:rsidRPr="004916C3" w:rsidTr="004916C3">
        <w:tc>
          <w:tcPr>
            <w:tcW w:w="3256" w:type="dxa"/>
          </w:tcPr>
          <w:p w:rsidR="004916C3" w:rsidRPr="004916C3" w:rsidRDefault="0015027A">
            <w:pPr>
              <w:rPr>
                <w:rFonts w:ascii="Arial" w:hAnsi="Arial" w:cs="Arial"/>
              </w:rPr>
            </w:pPr>
            <w:r w:rsidRPr="0015027A">
              <w:rPr>
                <w:rFonts w:ascii="Arial" w:hAnsi="Arial" w:cs="Arial"/>
              </w:rPr>
              <w:lastRenderedPageBreak/>
              <w:t>5. Disponibilidad presupuestal</w:t>
            </w:r>
          </w:p>
        </w:tc>
        <w:tc>
          <w:tcPr>
            <w:tcW w:w="5572" w:type="dxa"/>
          </w:tcPr>
          <w:p w:rsidR="004916C3" w:rsidRPr="004916C3" w:rsidRDefault="0015027A">
            <w:pPr>
              <w:rPr>
                <w:rFonts w:ascii="Arial" w:hAnsi="Arial" w:cs="Arial"/>
              </w:rPr>
            </w:pPr>
            <w:r>
              <w:rPr>
                <w:rFonts w:ascii="Arial" w:hAnsi="Arial" w:cs="Arial"/>
              </w:rPr>
              <w:t>No requiere</w:t>
            </w:r>
          </w:p>
        </w:tc>
      </w:tr>
      <w:tr w:rsidR="0015027A" w:rsidRPr="004916C3" w:rsidTr="004916C3">
        <w:tc>
          <w:tcPr>
            <w:tcW w:w="3256" w:type="dxa"/>
          </w:tcPr>
          <w:p w:rsidR="0015027A" w:rsidRPr="004916C3" w:rsidRDefault="0015027A" w:rsidP="0015027A">
            <w:pPr>
              <w:jc w:val="both"/>
              <w:rPr>
                <w:rFonts w:ascii="Arial" w:hAnsi="Arial" w:cs="Arial"/>
              </w:rPr>
            </w:pPr>
            <w:r w:rsidRPr="0015027A">
              <w:rPr>
                <w:rFonts w:ascii="Arial" w:hAnsi="Arial" w:cs="Arial"/>
              </w:rPr>
              <w:t xml:space="preserve">6. Impacto medioambiental o sobre el patrimonio cultural de la </w:t>
            </w:r>
            <w:r w:rsidRPr="0015027A">
              <w:rPr>
                <w:rFonts w:ascii="Arial" w:hAnsi="Arial" w:cs="Arial"/>
              </w:rPr>
              <w:t>Nación</w:t>
            </w:r>
            <w:r w:rsidRPr="0015027A">
              <w:rPr>
                <w:rFonts w:ascii="Arial" w:hAnsi="Arial" w:cs="Arial"/>
              </w:rPr>
              <w:t>.</w:t>
            </w:r>
          </w:p>
        </w:tc>
        <w:tc>
          <w:tcPr>
            <w:tcW w:w="5572" w:type="dxa"/>
          </w:tcPr>
          <w:p w:rsidR="0015027A" w:rsidRPr="004916C3" w:rsidRDefault="0015027A">
            <w:pPr>
              <w:rPr>
                <w:rFonts w:ascii="Arial" w:hAnsi="Arial" w:cs="Arial"/>
              </w:rPr>
            </w:pPr>
            <w:r w:rsidRPr="0015027A">
              <w:rPr>
                <w:rFonts w:ascii="Arial" w:hAnsi="Arial" w:cs="Arial"/>
              </w:rPr>
              <w:t xml:space="preserve">Las disposiciones contenidas en el proyecto de </w:t>
            </w:r>
            <w:r w:rsidRPr="0015027A">
              <w:rPr>
                <w:rFonts w:ascii="Arial" w:hAnsi="Arial" w:cs="Arial"/>
              </w:rPr>
              <w:t>Resolución</w:t>
            </w:r>
            <w:r w:rsidRPr="0015027A">
              <w:rPr>
                <w:rFonts w:ascii="Arial" w:hAnsi="Arial" w:cs="Arial"/>
              </w:rPr>
              <w:t xml:space="preserve"> no tienen los referidos impactos ambientales respecto al patrimonio cultural de la </w:t>
            </w:r>
            <w:r w:rsidRPr="0015027A">
              <w:rPr>
                <w:rFonts w:ascii="Arial" w:hAnsi="Arial" w:cs="Arial"/>
              </w:rPr>
              <w:t>Nación</w:t>
            </w:r>
          </w:p>
        </w:tc>
      </w:tr>
      <w:tr w:rsidR="0015027A" w:rsidRPr="004916C3" w:rsidTr="004916C3">
        <w:tc>
          <w:tcPr>
            <w:tcW w:w="3256" w:type="dxa"/>
          </w:tcPr>
          <w:p w:rsidR="0015027A" w:rsidRPr="004916C3" w:rsidRDefault="0015027A" w:rsidP="0015027A">
            <w:pPr>
              <w:jc w:val="both"/>
              <w:rPr>
                <w:rFonts w:ascii="Arial" w:hAnsi="Arial" w:cs="Arial"/>
              </w:rPr>
            </w:pPr>
            <w:r w:rsidRPr="0015027A">
              <w:rPr>
                <w:rFonts w:ascii="Arial" w:hAnsi="Arial" w:cs="Arial"/>
              </w:rPr>
              <w:t xml:space="preserve">7. El cumplimiento de los </w:t>
            </w:r>
            <w:r w:rsidRPr="0015027A">
              <w:rPr>
                <w:rFonts w:ascii="Arial" w:hAnsi="Arial" w:cs="Arial"/>
              </w:rPr>
              <w:t>requisitos</w:t>
            </w:r>
            <w:r w:rsidRPr="0015027A">
              <w:rPr>
                <w:rFonts w:ascii="Arial" w:hAnsi="Arial" w:cs="Arial"/>
              </w:rPr>
              <w:t xml:space="preserve"> de consulta y publicidad cuando haya lugar a ello.</w:t>
            </w:r>
          </w:p>
        </w:tc>
        <w:tc>
          <w:tcPr>
            <w:tcW w:w="5572" w:type="dxa"/>
          </w:tcPr>
          <w:p w:rsidR="0015027A" w:rsidRPr="004916C3" w:rsidRDefault="0015027A">
            <w:pPr>
              <w:rPr>
                <w:rFonts w:ascii="Arial" w:hAnsi="Arial" w:cs="Arial"/>
              </w:rPr>
            </w:pPr>
            <w:r w:rsidRPr="0015027A">
              <w:rPr>
                <w:rFonts w:ascii="Arial" w:hAnsi="Arial" w:cs="Arial"/>
              </w:rPr>
              <w:t xml:space="preserve">De acuerdo con su contenido, el proyecto de decreto no es una </w:t>
            </w:r>
            <w:r w:rsidRPr="0015027A">
              <w:rPr>
                <w:rFonts w:ascii="Arial" w:hAnsi="Arial" w:cs="Arial"/>
              </w:rPr>
              <w:t>decisión</w:t>
            </w:r>
            <w:r w:rsidRPr="0015027A">
              <w:rPr>
                <w:rFonts w:ascii="Arial" w:hAnsi="Arial" w:cs="Arial"/>
              </w:rPr>
              <w:t xml:space="preserve"> administrativa sujeta a las condiciones de la Ley 21 de 1991</w:t>
            </w:r>
          </w:p>
        </w:tc>
      </w:tr>
      <w:tr w:rsidR="0015027A" w:rsidRPr="004916C3" w:rsidTr="004916C3">
        <w:tc>
          <w:tcPr>
            <w:tcW w:w="3256" w:type="dxa"/>
          </w:tcPr>
          <w:p w:rsidR="0015027A" w:rsidRPr="004916C3" w:rsidRDefault="0015027A">
            <w:pPr>
              <w:rPr>
                <w:rFonts w:ascii="Arial" w:hAnsi="Arial" w:cs="Arial"/>
              </w:rPr>
            </w:pPr>
            <w:r w:rsidRPr="0015027A">
              <w:rPr>
                <w:rFonts w:ascii="Arial" w:hAnsi="Arial" w:cs="Arial"/>
              </w:rPr>
              <w:t xml:space="preserve">8. Cualquier otro aspecto que la entidad remitente </w:t>
            </w:r>
            <w:r w:rsidRPr="0015027A">
              <w:rPr>
                <w:rFonts w:ascii="Arial" w:hAnsi="Arial" w:cs="Arial"/>
              </w:rPr>
              <w:t>considere</w:t>
            </w:r>
            <w:r w:rsidRPr="0015027A">
              <w:rPr>
                <w:rFonts w:ascii="Arial" w:hAnsi="Arial" w:cs="Arial"/>
              </w:rPr>
              <w:t xml:space="preserve"> relevante o de importancia para la </w:t>
            </w:r>
            <w:r w:rsidRPr="0015027A">
              <w:rPr>
                <w:rFonts w:ascii="Arial" w:hAnsi="Arial" w:cs="Arial"/>
              </w:rPr>
              <w:t>adopción</w:t>
            </w:r>
            <w:r w:rsidRPr="0015027A">
              <w:rPr>
                <w:rFonts w:ascii="Arial" w:hAnsi="Arial" w:cs="Arial"/>
              </w:rPr>
              <w:t xml:space="preserve"> de la </w:t>
            </w:r>
            <w:r w:rsidRPr="0015027A">
              <w:rPr>
                <w:rFonts w:ascii="Arial" w:hAnsi="Arial" w:cs="Arial"/>
              </w:rPr>
              <w:t>decisión</w:t>
            </w:r>
            <w:r w:rsidRPr="0015027A">
              <w:rPr>
                <w:rFonts w:ascii="Arial" w:hAnsi="Arial" w:cs="Arial"/>
              </w:rPr>
              <w:t>.</w:t>
            </w:r>
          </w:p>
        </w:tc>
        <w:tc>
          <w:tcPr>
            <w:tcW w:w="5572" w:type="dxa"/>
          </w:tcPr>
          <w:p w:rsidR="00133027" w:rsidRDefault="00133027">
            <w:pPr>
              <w:rPr>
                <w:rFonts w:ascii="Arial" w:hAnsi="Arial" w:cs="Arial"/>
              </w:rPr>
            </w:pPr>
          </w:p>
          <w:p w:rsidR="0015027A" w:rsidRPr="004916C3" w:rsidRDefault="00133027">
            <w:pPr>
              <w:rPr>
                <w:rFonts w:ascii="Arial" w:hAnsi="Arial" w:cs="Arial"/>
              </w:rPr>
            </w:pPr>
            <w:r>
              <w:rPr>
                <w:rFonts w:ascii="Arial" w:hAnsi="Arial" w:cs="Arial"/>
              </w:rPr>
              <w:t>N/A</w:t>
            </w:r>
          </w:p>
        </w:tc>
      </w:tr>
      <w:tr w:rsidR="00133027" w:rsidRPr="004916C3" w:rsidTr="00133027">
        <w:trPr>
          <w:trHeight w:val="801"/>
        </w:trPr>
        <w:tc>
          <w:tcPr>
            <w:tcW w:w="8828" w:type="dxa"/>
            <w:gridSpan w:val="2"/>
          </w:tcPr>
          <w:p w:rsidR="00133027" w:rsidRPr="004916C3" w:rsidRDefault="00133027" w:rsidP="00133027">
            <w:pPr>
              <w:jc w:val="both"/>
              <w:rPr>
                <w:rFonts w:ascii="Arial" w:hAnsi="Arial" w:cs="Arial"/>
              </w:rPr>
            </w:pPr>
            <w:r w:rsidRPr="00133027">
              <w:rPr>
                <w:rFonts w:ascii="Arial" w:hAnsi="Arial" w:cs="Arial"/>
              </w:rPr>
              <w:t xml:space="preserve">9. Seguridad </w:t>
            </w:r>
            <w:r w:rsidRPr="00133027">
              <w:rPr>
                <w:rFonts w:ascii="Arial" w:hAnsi="Arial" w:cs="Arial"/>
              </w:rPr>
              <w:t>Jurídica</w:t>
            </w:r>
            <w:r w:rsidRPr="00133027">
              <w:rPr>
                <w:rFonts w:ascii="Arial" w:hAnsi="Arial" w:cs="Arial"/>
              </w:rPr>
              <w:t>: Dentro del a</w:t>
            </w:r>
            <w:r>
              <w:rPr>
                <w:rFonts w:ascii="Arial" w:hAnsi="Arial" w:cs="Arial"/>
              </w:rPr>
              <w:t>ño</w:t>
            </w:r>
            <w:r w:rsidRPr="00133027">
              <w:rPr>
                <w:rFonts w:ascii="Arial" w:hAnsi="Arial" w:cs="Arial"/>
              </w:rPr>
              <w:t xml:space="preserve"> inmediatamente anterior ya se </w:t>
            </w:r>
            <w:r w:rsidRPr="00133027">
              <w:rPr>
                <w:rFonts w:ascii="Arial" w:hAnsi="Arial" w:cs="Arial"/>
              </w:rPr>
              <w:t>había</w:t>
            </w:r>
            <w:r w:rsidRPr="00133027">
              <w:rPr>
                <w:rFonts w:ascii="Arial" w:hAnsi="Arial" w:cs="Arial"/>
              </w:rPr>
              <w:t xml:space="preserve"> reglamentado la misma materia; SI:  </w:t>
            </w:r>
            <w:r>
              <w:rPr>
                <w:rFonts w:ascii="Arial" w:hAnsi="Arial" w:cs="Arial"/>
              </w:rPr>
              <w:t xml:space="preserve">    </w:t>
            </w:r>
            <w:r w:rsidRPr="00133027">
              <w:rPr>
                <w:rFonts w:ascii="Arial" w:hAnsi="Arial" w:cs="Arial"/>
              </w:rPr>
              <w:t>NO:</w:t>
            </w:r>
            <w:r>
              <w:rPr>
                <w:rFonts w:ascii="Arial" w:hAnsi="Arial" w:cs="Arial"/>
              </w:rPr>
              <w:t>x</w:t>
            </w:r>
          </w:p>
        </w:tc>
      </w:tr>
    </w:tbl>
    <w:p w:rsidR="004916C3" w:rsidRPr="004916C3" w:rsidRDefault="004916C3">
      <w:pPr>
        <w:rPr>
          <w:rFonts w:ascii="Arial" w:hAnsi="Arial" w:cs="Arial"/>
        </w:rPr>
      </w:pPr>
    </w:p>
    <w:p w:rsidR="004916C3" w:rsidRPr="004916C3" w:rsidRDefault="004916C3">
      <w:pPr>
        <w:rPr>
          <w:rFonts w:ascii="Arial" w:hAnsi="Arial" w:cs="Arial"/>
        </w:rPr>
      </w:pPr>
    </w:p>
    <w:p w:rsidR="004916C3" w:rsidRPr="004916C3" w:rsidRDefault="004916C3">
      <w:pPr>
        <w:rPr>
          <w:rFonts w:ascii="Arial" w:hAnsi="Arial" w:cs="Arial"/>
        </w:rPr>
      </w:pPr>
    </w:p>
    <w:sectPr w:rsidR="004916C3" w:rsidRPr="004916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364F9"/>
    <w:multiLevelType w:val="multilevel"/>
    <w:tmpl w:val="636C9E86"/>
    <w:lvl w:ilvl="0">
      <w:start w:val="1"/>
      <w:numFmt w:val="decimal"/>
      <w:pStyle w:val="Titulo1"/>
      <w:lvlText w:val="%1"/>
      <w:lvlJc w:val="left"/>
      <w:pPr>
        <w:tabs>
          <w:tab w:val="num" w:pos="432"/>
        </w:tabs>
        <w:ind w:left="432" w:hanging="432"/>
      </w:pPr>
      <w:rPr>
        <w:rFonts w:ascii="Verdana" w:hAnsi="Verdana" w:hint="default"/>
        <w:b/>
        <w:i w:val="0"/>
        <w:sz w:val="20"/>
        <w:szCs w:val="28"/>
      </w:rPr>
    </w:lvl>
    <w:lvl w:ilvl="1">
      <w:start w:val="1"/>
      <w:numFmt w:val="decimal"/>
      <w:pStyle w:val="Titulo2"/>
      <w:lvlText w:val="%1.%2"/>
      <w:lvlJc w:val="left"/>
      <w:pPr>
        <w:tabs>
          <w:tab w:val="num" w:pos="576"/>
        </w:tabs>
        <w:ind w:left="576" w:hanging="576"/>
      </w:pPr>
      <w:rPr>
        <w:rFonts w:ascii="Verdana" w:hAnsi="Verdana" w:hint="default"/>
        <w:b/>
        <w:i w:val="0"/>
        <w:sz w:val="20"/>
        <w:szCs w:val="24"/>
      </w:rPr>
    </w:lvl>
    <w:lvl w:ilvl="2">
      <w:start w:val="1"/>
      <w:numFmt w:val="decimal"/>
      <w:pStyle w:val="Titulo3"/>
      <w:lvlText w:val="%1.%2.%3"/>
      <w:lvlJc w:val="left"/>
      <w:pPr>
        <w:tabs>
          <w:tab w:val="num" w:pos="1440"/>
        </w:tabs>
        <w:ind w:left="1440" w:hanging="720"/>
      </w:pPr>
      <w:rPr>
        <w:rFonts w:ascii="Verdana" w:hAnsi="Verdana" w:hint="default"/>
        <w:b/>
        <w:i w:val="0"/>
        <w:sz w:val="20"/>
        <w:szCs w:val="20"/>
      </w:rPr>
    </w:lvl>
    <w:lvl w:ilvl="3">
      <w:start w:val="1"/>
      <w:numFmt w:val="decimal"/>
      <w:pStyle w:val="Titulo4"/>
      <w:lvlText w:val="%1.%2.%3.%4"/>
      <w:lvlJc w:val="left"/>
      <w:pPr>
        <w:tabs>
          <w:tab w:val="num" w:pos="864"/>
        </w:tabs>
        <w:ind w:left="864" w:hanging="864"/>
      </w:pPr>
      <w:rPr>
        <w:rFonts w:ascii="Verdana" w:hAnsi="Verdana" w:hint="default"/>
        <w:b w:val="0"/>
        <w:i w:val="0"/>
        <w:sz w:val="20"/>
        <w:szCs w:val="20"/>
      </w:rPr>
    </w:lvl>
    <w:lvl w:ilvl="4">
      <w:start w:val="1"/>
      <w:numFmt w:val="bullet"/>
      <w:lvlText w:val=""/>
      <w:lvlJc w:val="left"/>
      <w:pPr>
        <w:tabs>
          <w:tab w:val="num" w:pos="387"/>
        </w:tabs>
        <w:ind w:left="387" w:hanging="567"/>
      </w:pPr>
      <w:rPr>
        <w:rFonts w:ascii="Monotype Sorts" w:hAnsi="Monotype Sorts" w:hint="default"/>
        <w:color w:val="auto"/>
      </w:rPr>
    </w:lvl>
    <w:lvl w:ilvl="5">
      <w:start w:val="1"/>
      <w:numFmt w:val="decimal"/>
      <w:pStyle w:val="Ttulo6"/>
      <w:lvlText w:val="%1.%2.%3.1.%5"/>
      <w:lvlJc w:val="left"/>
      <w:pPr>
        <w:tabs>
          <w:tab w:val="num" w:pos="972"/>
        </w:tabs>
        <w:ind w:left="972" w:hanging="1152"/>
      </w:pPr>
      <w:rPr>
        <w:rFonts w:hint="default"/>
      </w:rPr>
    </w:lvl>
    <w:lvl w:ilvl="6">
      <w:start w:val="1"/>
      <w:numFmt w:val="decimal"/>
      <w:pStyle w:val="Ttulo7"/>
      <w:lvlText w:val="%1.%2.%3.%4.%5.%6.%7"/>
      <w:lvlJc w:val="left"/>
      <w:pPr>
        <w:tabs>
          <w:tab w:val="num" w:pos="1116"/>
        </w:tabs>
        <w:ind w:left="1116" w:hanging="1296"/>
      </w:pPr>
      <w:rPr>
        <w:rFonts w:hint="default"/>
      </w:rPr>
    </w:lvl>
    <w:lvl w:ilvl="7">
      <w:start w:val="1"/>
      <w:numFmt w:val="decimal"/>
      <w:pStyle w:val="Ttulo8"/>
      <w:lvlText w:val="%1.%2.%3.%4.%5.%6.%7.%8"/>
      <w:lvlJc w:val="left"/>
      <w:pPr>
        <w:tabs>
          <w:tab w:val="num" w:pos="1260"/>
        </w:tabs>
        <w:ind w:left="1260" w:hanging="1440"/>
      </w:pPr>
      <w:rPr>
        <w:rFonts w:hint="default"/>
      </w:rPr>
    </w:lvl>
    <w:lvl w:ilvl="8">
      <w:start w:val="1"/>
      <w:numFmt w:val="decimal"/>
      <w:pStyle w:val="Ttulo9"/>
      <w:lvlText w:val="%1.%2.%3.%4.%5.%6.%7.%8.%9"/>
      <w:lvlJc w:val="left"/>
      <w:pPr>
        <w:tabs>
          <w:tab w:val="num" w:pos="1404"/>
        </w:tabs>
        <w:ind w:left="140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C3"/>
    <w:rsid w:val="00133027"/>
    <w:rsid w:val="0015027A"/>
    <w:rsid w:val="004916C3"/>
    <w:rsid w:val="00C41ACF"/>
    <w:rsid w:val="00EB57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F22D"/>
  <w15:chartTrackingRefBased/>
  <w15:docId w15:val="{75D7D49C-9BC6-4B04-9B38-71F13B23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16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916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916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916C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qFormat/>
    <w:rsid w:val="004916C3"/>
    <w:pPr>
      <w:numPr>
        <w:ilvl w:val="5"/>
        <w:numId w:val="1"/>
      </w:numPr>
      <w:spacing w:before="240" w:after="60" w:line="360" w:lineRule="auto"/>
      <w:outlineLvl w:val="5"/>
    </w:pPr>
    <w:rPr>
      <w:rFonts w:ascii="Verdana" w:eastAsia="Times New Roman" w:hAnsi="Verdana" w:cs="Times New Roman"/>
      <w:b/>
      <w:sz w:val="20"/>
      <w:szCs w:val="20"/>
      <w:lang w:eastAsia="es-ES"/>
    </w:rPr>
  </w:style>
  <w:style w:type="paragraph" w:styleId="Ttulo7">
    <w:name w:val="heading 7"/>
    <w:basedOn w:val="Normal"/>
    <w:next w:val="Normal"/>
    <w:link w:val="Ttulo7Car"/>
    <w:uiPriority w:val="9"/>
    <w:qFormat/>
    <w:rsid w:val="004916C3"/>
    <w:pPr>
      <w:numPr>
        <w:ilvl w:val="6"/>
        <w:numId w:val="1"/>
      </w:numPr>
      <w:spacing w:before="240" w:after="60" w:line="360" w:lineRule="auto"/>
      <w:outlineLvl w:val="6"/>
    </w:pPr>
    <w:rPr>
      <w:rFonts w:ascii="Arial" w:eastAsia="Times New Roman" w:hAnsi="Arial" w:cs="Times New Roman"/>
      <w:sz w:val="20"/>
      <w:szCs w:val="20"/>
      <w:lang w:val="en-AU" w:eastAsia="es-ES"/>
    </w:rPr>
  </w:style>
  <w:style w:type="paragraph" w:styleId="Ttulo8">
    <w:name w:val="heading 8"/>
    <w:basedOn w:val="Normal"/>
    <w:next w:val="Normal"/>
    <w:link w:val="Ttulo8Car"/>
    <w:uiPriority w:val="9"/>
    <w:qFormat/>
    <w:rsid w:val="004916C3"/>
    <w:pPr>
      <w:numPr>
        <w:ilvl w:val="7"/>
        <w:numId w:val="1"/>
      </w:numPr>
      <w:spacing w:before="240" w:after="60" w:line="360" w:lineRule="auto"/>
      <w:outlineLvl w:val="7"/>
    </w:pPr>
    <w:rPr>
      <w:rFonts w:ascii="Arial" w:eastAsia="Times New Roman" w:hAnsi="Arial" w:cs="Times New Roman"/>
      <w:i/>
      <w:sz w:val="20"/>
      <w:szCs w:val="20"/>
      <w:lang w:val="en-AU" w:eastAsia="es-ES"/>
    </w:rPr>
  </w:style>
  <w:style w:type="paragraph" w:styleId="Ttulo9">
    <w:name w:val="heading 9"/>
    <w:basedOn w:val="Normal"/>
    <w:next w:val="Normal"/>
    <w:link w:val="Ttulo9Car"/>
    <w:uiPriority w:val="9"/>
    <w:qFormat/>
    <w:rsid w:val="004916C3"/>
    <w:pPr>
      <w:numPr>
        <w:ilvl w:val="8"/>
        <w:numId w:val="1"/>
      </w:numPr>
      <w:spacing w:before="240" w:after="60" w:line="360" w:lineRule="auto"/>
      <w:outlineLvl w:val="8"/>
    </w:pPr>
    <w:rPr>
      <w:rFonts w:ascii="Arial" w:eastAsia="Times New Roman" w:hAnsi="Arial" w:cs="Times New Roman"/>
      <w:b/>
      <w:i/>
      <w:sz w:val="18"/>
      <w:szCs w:val="20"/>
      <w:lang w:val="en-AU"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4916C3"/>
    <w:rPr>
      <w:rFonts w:ascii="Verdana" w:eastAsia="Times New Roman" w:hAnsi="Verdana" w:cs="Times New Roman"/>
      <w:b/>
      <w:sz w:val="20"/>
      <w:szCs w:val="20"/>
      <w:lang w:eastAsia="es-ES"/>
    </w:rPr>
  </w:style>
  <w:style w:type="character" w:customStyle="1" w:styleId="Ttulo7Car">
    <w:name w:val="Título 7 Car"/>
    <w:basedOn w:val="Fuentedeprrafopredeter"/>
    <w:link w:val="Ttulo7"/>
    <w:uiPriority w:val="9"/>
    <w:rsid w:val="004916C3"/>
    <w:rPr>
      <w:rFonts w:ascii="Arial" w:eastAsia="Times New Roman" w:hAnsi="Arial" w:cs="Times New Roman"/>
      <w:sz w:val="20"/>
      <w:szCs w:val="20"/>
      <w:lang w:val="en-AU" w:eastAsia="es-ES"/>
    </w:rPr>
  </w:style>
  <w:style w:type="character" w:customStyle="1" w:styleId="Ttulo8Car">
    <w:name w:val="Título 8 Car"/>
    <w:basedOn w:val="Fuentedeprrafopredeter"/>
    <w:link w:val="Ttulo8"/>
    <w:uiPriority w:val="9"/>
    <w:rsid w:val="004916C3"/>
    <w:rPr>
      <w:rFonts w:ascii="Arial" w:eastAsia="Times New Roman" w:hAnsi="Arial" w:cs="Times New Roman"/>
      <w:i/>
      <w:sz w:val="20"/>
      <w:szCs w:val="20"/>
      <w:lang w:val="en-AU" w:eastAsia="es-ES"/>
    </w:rPr>
  </w:style>
  <w:style w:type="character" w:customStyle="1" w:styleId="Ttulo9Car">
    <w:name w:val="Título 9 Car"/>
    <w:basedOn w:val="Fuentedeprrafopredeter"/>
    <w:link w:val="Ttulo9"/>
    <w:uiPriority w:val="9"/>
    <w:rsid w:val="004916C3"/>
    <w:rPr>
      <w:rFonts w:ascii="Arial" w:eastAsia="Times New Roman" w:hAnsi="Arial" w:cs="Times New Roman"/>
      <w:b/>
      <w:i/>
      <w:sz w:val="18"/>
      <w:szCs w:val="20"/>
      <w:lang w:val="en-AU" w:eastAsia="es-ES"/>
    </w:rPr>
  </w:style>
  <w:style w:type="paragraph" w:customStyle="1" w:styleId="Titulo1">
    <w:name w:val="Titulo 1"/>
    <w:basedOn w:val="Ttulo1"/>
    <w:rsid w:val="004916C3"/>
    <w:pPr>
      <w:keepLines w:val="0"/>
      <w:numPr>
        <w:numId w:val="1"/>
      </w:numPr>
      <w:spacing w:before="400" w:after="160" w:line="360" w:lineRule="auto"/>
    </w:pPr>
    <w:rPr>
      <w:rFonts w:ascii="Verdana" w:eastAsia="Times New Roman" w:hAnsi="Verdana" w:cs="Times New Roman"/>
      <w:b/>
      <w:color w:val="000000"/>
      <w:kern w:val="28"/>
      <w:sz w:val="28"/>
      <w:szCs w:val="20"/>
      <w:lang w:val="en-AU" w:eastAsia="es-ES"/>
    </w:rPr>
  </w:style>
  <w:style w:type="paragraph" w:customStyle="1" w:styleId="Titulo2">
    <w:name w:val="Titulo 2"/>
    <w:basedOn w:val="Ttulo2"/>
    <w:rsid w:val="004916C3"/>
    <w:pPr>
      <w:keepLines w:val="0"/>
      <w:numPr>
        <w:ilvl w:val="1"/>
        <w:numId w:val="1"/>
      </w:numPr>
      <w:spacing w:before="400" w:after="160" w:line="360" w:lineRule="auto"/>
    </w:pPr>
    <w:rPr>
      <w:rFonts w:ascii="Verdana" w:eastAsia="Times New Roman" w:hAnsi="Verdana" w:cs="Times New Roman"/>
      <w:b/>
      <w:color w:val="auto"/>
      <w:szCs w:val="20"/>
      <w:lang w:val="en-AU" w:eastAsia="es-ES"/>
    </w:rPr>
  </w:style>
  <w:style w:type="paragraph" w:customStyle="1" w:styleId="Titulo4">
    <w:name w:val="Titulo 4"/>
    <w:basedOn w:val="Ttulo4"/>
    <w:rsid w:val="004916C3"/>
    <w:pPr>
      <w:keepLines w:val="0"/>
      <w:numPr>
        <w:ilvl w:val="3"/>
        <w:numId w:val="1"/>
      </w:numPr>
      <w:tabs>
        <w:tab w:val="left" w:pos="900"/>
      </w:tabs>
      <w:spacing w:before="0" w:line="240" w:lineRule="auto"/>
    </w:pPr>
    <w:rPr>
      <w:rFonts w:ascii="Verdana" w:eastAsia="Times New Roman" w:hAnsi="Verdana" w:cs="Times New Roman"/>
      <w:b/>
      <w:i w:val="0"/>
      <w:color w:val="auto"/>
      <w:sz w:val="20"/>
      <w:szCs w:val="20"/>
      <w:lang w:eastAsia="es-ES"/>
    </w:rPr>
  </w:style>
  <w:style w:type="paragraph" w:customStyle="1" w:styleId="Titulo3">
    <w:name w:val="Titulo 3"/>
    <w:basedOn w:val="Ttulo3"/>
    <w:rsid w:val="004916C3"/>
    <w:pPr>
      <w:keepLines w:val="0"/>
      <w:numPr>
        <w:ilvl w:val="2"/>
        <w:numId w:val="1"/>
      </w:numPr>
      <w:spacing w:before="360" w:after="120" w:line="360" w:lineRule="auto"/>
    </w:pPr>
    <w:rPr>
      <w:rFonts w:ascii="Arial" w:eastAsia="Times New Roman" w:hAnsi="Arial" w:cs="Times New Roman"/>
      <w:b/>
      <w:color w:val="auto"/>
      <w:szCs w:val="20"/>
      <w:lang w:val="en-AU" w:eastAsia="es-ES"/>
    </w:rPr>
  </w:style>
  <w:style w:type="character" w:customStyle="1" w:styleId="Ttulo1Car">
    <w:name w:val="Título 1 Car"/>
    <w:basedOn w:val="Fuentedeprrafopredeter"/>
    <w:link w:val="Ttulo1"/>
    <w:uiPriority w:val="9"/>
    <w:rsid w:val="004916C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4916C3"/>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4916C3"/>
    <w:rPr>
      <w:rFonts w:asciiTheme="majorHAnsi" w:eastAsiaTheme="majorEastAsia" w:hAnsiTheme="majorHAnsi" w:cstheme="majorBidi"/>
      <w:i/>
      <w:iCs/>
      <w:color w:val="2F5496" w:themeColor="accent1" w:themeShade="BF"/>
    </w:rPr>
  </w:style>
  <w:style w:type="character" w:customStyle="1" w:styleId="Ttulo3Car">
    <w:name w:val="Título 3 Car"/>
    <w:basedOn w:val="Fuentedeprrafopredeter"/>
    <w:link w:val="Ttulo3"/>
    <w:uiPriority w:val="9"/>
    <w:semiHidden/>
    <w:rsid w:val="004916C3"/>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49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4916C3"/>
    <w:pPr>
      <w:autoSpaceDE w:val="0"/>
      <w:autoSpaceDN w:val="0"/>
      <w:adjustRightInd w:val="0"/>
      <w:spacing w:after="0" w:line="240" w:lineRule="auto"/>
    </w:pPr>
    <w:rPr>
      <w:rFonts w:ascii="Verdana" w:eastAsia="Times New Roman" w:hAnsi="Verdana" w:cs="Times New Roman"/>
      <w:color w:val="000000"/>
      <w:sz w:val="24"/>
      <w:szCs w:val="24"/>
      <w:lang w:val="es-ES" w:eastAsia="es-ES"/>
    </w:rPr>
  </w:style>
  <w:style w:type="character" w:customStyle="1" w:styleId="DefaultCar">
    <w:name w:val="Default Car"/>
    <w:link w:val="Default"/>
    <w:locked/>
    <w:rsid w:val="004916C3"/>
    <w:rPr>
      <w:rFonts w:ascii="Verdana" w:eastAsia="Times New Roman" w:hAnsi="Verdana" w:cs="Times New Roman"/>
      <w:color w:val="000000"/>
      <w:sz w:val="24"/>
      <w:szCs w:val="24"/>
      <w:lang w:val="es-ES" w:eastAsia="es-ES"/>
    </w:rPr>
  </w:style>
  <w:style w:type="paragraph" w:customStyle="1" w:styleId="CM18">
    <w:name w:val="CM18"/>
    <w:basedOn w:val="Default"/>
    <w:next w:val="Default"/>
    <w:uiPriority w:val="99"/>
    <w:rsid w:val="004916C3"/>
    <w:rPr>
      <w:rFonts w:ascii="Arial" w:eastAsiaTheme="minorHAnsi" w:hAnsi="Arial" w:cs="Arial"/>
      <w:color w:val="auto"/>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A65FJVFR3NAS-1820456951-711</_dlc_DocId>
    <_dlc_DocIdUrl xmlns="fe5c55e1-1529-428c-8c16-ada3460a0e7a">
      <Url>http://tame/_layouts/15/DocIdRedir.aspx?ID=A65FJVFR3NAS-1820456951-711</Url>
      <Description>A65FJVFR3NAS-1820456951-711</Description>
    </_dlc_DocIdUrl>
  </documentManagement>
</p:properties>
</file>

<file path=customXml/itemProps1.xml><?xml version="1.0" encoding="utf-8"?>
<ds:datastoreItem xmlns:ds="http://schemas.openxmlformats.org/officeDocument/2006/customXml" ds:itemID="{7830ABE0-6E9D-4773-93C2-F9BF5EDCD372}"/>
</file>

<file path=customXml/itemProps2.xml><?xml version="1.0" encoding="utf-8"?>
<ds:datastoreItem xmlns:ds="http://schemas.openxmlformats.org/officeDocument/2006/customXml" ds:itemID="{0ECAA2F1-493D-4CBD-84BE-FB7C28E6EEF7}"/>
</file>

<file path=customXml/itemProps3.xml><?xml version="1.0" encoding="utf-8"?>
<ds:datastoreItem xmlns:ds="http://schemas.openxmlformats.org/officeDocument/2006/customXml" ds:itemID="{9E314F2B-8827-42AB-958C-E564F076F070}"/>
</file>

<file path=customXml/itemProps4.xml><?xml version="1.0" encoding="utf-8"?>
<ds:datastoreItem xmlns:ds="http://schemas.openxmlformats.org/officeDocument/2006/customXml" ds:itemID="{FAEE2D8F-EFD5-4F02-B80F-C4DB967217D0}"/>
</file>

<file path=docProps/app.xml><?xml version="1.0" encoding="utf-8"?>
<Properties xmlns="http://schemas.openxmlformats.org/officeDocument/2006/extended-properties" xmlns:vt="http://schemas.openxmlformats.org/officeDocument/2006/docPropsVTypes">
  <Template>Normal</Template>
  <TotalTime>21</TotalTime>
  <Pages>3</Pages>
  <Words>814</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Alexandra Chaves Quiroga</dc:creator>
  <cp:keywords/>
  <dc:description/>
  <cp:lastModifiedBy>Diana Alexandra Chaves Quiroga</cp:lastModifiedBy>
  <cp:revision>2</cp:revision>
  <dcterms:created xsi:type="dcterms:W3CDTF">2020-04-12T14:41:00Z</dcterms:created>
  <dcterms:modified xsi:type="dcterms:W3CDTF">2020-04-12T15:03:00Z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85d0f213-9b88-44cc-a5e0-4c33c74d7ff5</vt:lpwstr>
  </property>
</Properties>
</file>